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19211A" w14:textId="77777777" w:rsidR="00FB24FF" w:rsidRPr="00FB24FF" w:rsidRDefault="00FB24FF" w:rsidP="00FB24FF">
      <w:pPr>
        <w:jc w:val="center"/>
        <w:rPr>
          <w:b/>
          <w:sz w:val="28"/>
          <w:szCs w:val="28"/>
        </w:rPr>
      </w:pPr>
      <w:r w:rsidRPr="00FB24FF">
        <w:rPr>
          <w:b/>
          <w:sz w:val="28"/>
          <w:szCs w:val="28"/>
        </w:rPr>
        <w:t>PROHLÁŠENÍ ZÁKAZNÍKA</w:t>
      </w:r>
    </w:p>
    <w:p w14:paraId="5A4ED2EB" w14:textId="08F55D1A" w:rsidR="002D3AB0" w:rsidRDefault="00FB24FF" w:rsidP="00FB24FF">
      <w:pPr>
        <w:rPr>
          <w:sz w:val="24"/>
          <w:szCs w:val="24"/>
        </w:rPr>
      </w:pPr>
      <w:r w:rsidRPr="00B77D3E">
        <w:rPr>
          <w:sz w:val="24"/>
          <w:szCs w:val="24"/>
        </w:rPr>
        <w:t xml:space="preserve">o konkrétním (konkrétních) použití (použitích) prekurzoru výbušnin podléhajícího omezení podle nařízení Evropského parlamentu a Rady (EU) 2019/1148 </w:t>
      </w:r>
      <w:r w:rsidR="002D3AB0">
        <w:rPr>
          <w:sz w:val="24"/>
          <w:szCs w:val="24"/>
        </w:rPr>
        <w:t>(viz. str. 2)</w:t>
      </w:r>
    </w:p>
    <w:p w14:paraId="1417B5C5" w14:textId="01D8194A" w:rsidR="00FB24FF" w:rsidRPr="00B77D3E" w:rsidRDefault="00FB24FF" w:rsidP="00FB24FF">
      <w:pPr>
        <w:rPr>
          <w:sz w:val="24"/>
          <w:szCs w:val="24"/>
        </w:rPr>
      </w:pPr>
      <w:r w:rsidRPr="00B77D3E">
        <w:rPr>
          <w:sz w:val="24"/>
          <w:szCs w:val="24"/>
        </w:rPr>
        <w:t>(vyplňte hůlkovým písmem):</w:t>
      </w: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4253"/>
        <w:gridCol w:w="6379"/>
      </w:tblGrid>
      <w:tr w:rsidR="00FB24FF" w:rsidRPr="00B77D3E" w14:paraId="42F8AF89" w14:textId="77777777" w:rsidTr="00751F62">
        <w:trPr>
          <w:trHeight w:val="721"/>
        </w:trPr>
        <w:tc>
          <w:tcPr>
            <w:tcW w:w="4253" w:type="dxa"/>
          </w:tcPr>
          <w:p w14:paraId="6CA4F971" w14:textId="77777777" w:rsidR="00FB24FF" w:rsidRPr="00B77D3E" w:rsidRDefault="00735822" w:rsidP="00AF7D8E">
            <w:r w:rsidRPr="00B77D3E">
              <w:rPr>
                <w:b/>
              </w:rPr>
              <w:t>Zákazník</w:t>
            </w:r>
            <w:r w:rsidR="00FB24FF" w:rsidRPr="00B77D3E">
              <w:rPr>
                <w:b/>
              </w:rPr>
              <w:t xml:space="preserve"> (jméno a příjmení) a adresa</w:t>
            </w:r>
            <w:r w:rsidR="00751F62" w:rsidRPr="00B77D3E">
              <w:rPr>
                <w:b/>
              </w:rPr>
              <w:t>:</w:t>
            </w:r>
          </w:p>
        </w:tc>
        <w:tc>
          <w:tcPr>
            <w:tcW w:w="6379" w:type="dxa"/>
          </w:tcPr>
          <w:p w14:paraId="10024AB5" w14:textId="77777777" w:rsidR="00FB24FF" w:rsidRPr="00B77D3E" w:rsidRDefault="00FB24FF" w:rsidP="00FB24FF"/>
        </w:tc>
      </w:tr>
      <w:tr w:rsidR="00FB24FF" w:rsidRPr="00B77D3E" w14:paraId="1B980E58" w14:textId="77777777" w:rsidTr="00751F62">
        <w:trPr>
          <w:trHeight w:val="406"/>
        </w:trPr>
        <w:tc>
          <w:tcPr>
            <w:tcW w:w="4253" w:type="dxa"/>
          </w:tcPr>
          <w:p w14:paraId="5972F3EF" w14:textId="77777777" w:rsidR="00FB24FF" w:rsidRPr="00B77D3E" w:rsidRDefault="00735822" w:rsidP="00FB24FF">
            <w:r w:rsidRPr="00B77D3E">
              <w:rPr>
                <w:b/>
              </w:rPr>
              <w:t>Doklad totožnosti (číslo, vydávající orgán):</w:t>
            </w:r>
          </w:p>
        </w:tc>
        <w:tc>
          <w:tcPr>
            <w:tcW w:w="6379" w:type="dxa"/>
          </w:tcPr>
          <w:p w14:paraId="2A04F782" w14:textId="77777777" w:rsidR="00FB24FF" w:rsidRPr="00B77D3E" w:rsidRDefault="00FB24FF" w:rsidP="00FB24FF"/>
        </w:tc>
      </w:tr>
      <w:tr w:rsidR="00FB24FF" w:rsidRPr="00B77D3E" w14:paraId="6ADA9F44" w14:textId="77777777" w:rsidTr="00751F62">
        <w:trPr>
          <w:trHeight w:val="356"/>
        </w:trPr>
        <w:tc>
          <w:tcPr>
            <w:tcW w:w="4253" w:type="dxa"/>
          </w:tcPr>
          <w:p w14:paraId="336B10D3" w14:textId="77777777" w:rsidR="00FB24FF" w:rsidRPr="00B77D3E" w:rsidRDefault="00735822" w:rsidP="00FB24FF">
            <w:pPr>
              <w:rPr>
                <w:b/>
              </w:rPr>
            </w:pPr>
            <w:r w:rsidRPr="00B77D3E">
              <w:rPr>
                <w:b/>
              </w:rPr>
              <w:t>Název společnosti:</w:t>
            </w:r>
          </w:p>
        </w:tc>
        <w:tc>
          <w:tcPr>
            <w:tcW w:w="6379" w:type="dxa"/>
          </w:tcPr>
          <w:p w14:paraId="2D7133BD" w14:textId="77777777" w:rsidR="00FB24FF" w:rsidRPr="00B77D3E" w:rsidRDefault="00FB24FF" w:rsidP="00FB24FF"/>
        </w:tc>
      </w:tr>
      <w:tr w:rsidR="00735822" w:rsidRPr="00B77D3E" w14:paraId="40B2265A" w14:textId="77777777" w:rsidTr="00751F62">
        <w:trPr>
          <w:trHeight w:val="356"/>
        </w:trPr>
        <w:tc>
          <w:tcPr>
            <w:tcW w:w="4253" w:type="dxa"/>
          </w:tcPr>
          <w:p w14:paraId="601CEA17" w14:textId="77777777" w:rsidR="00735822" w:rsidRPr="00B77D3E" w:rsidRDefault="00735822" w:rsidP="00FB24FF">
            <w:pPr>
              <w:rPr>
                <w:b/>
              </w:rPr>
            </w:pPr>
            <w:r w:rsidRPr="00B77D3E">
              <w:rPr>
                <w:b/>
              </w:rPr>
              <w:t>IČO/DIČ:</w:t>
            </w:r>
          </w:p>
        </w:tc>
        <w:tc>
          <w:tcPr>
            <w:tcW w:w="6379" w:type="dxa"/>
          </w:tcPr>
          <w:p w14:paraId="504D4DE5" w14:textId="77777777" w:rsidR="00735822" w:rsidRPr="00B77D3E" w:rsidRDefault="00735822" w:rsidP="00FB24FF"/>
        </w:tc>
      </w:tr>
      <w:tr w:rsidR="00FB24FF" w:rsidRPr="00B77D3E" w14:paraId="3EA3E60B" w14:textId="77777777" w:rsidTr="00751F62">
        <w:trPr>
          <w:trHeight w:val="438"/>
        </w:trPr>
        <w:tc>
          <w:tcPr>
            <w:tcW w:w="4253" w:type="dxa"/>
          </w:tcPr>
          <w:p w14:paraId="0D763493" w14:textId="77777777" w:rsidR="00FB24FF" w:rsidRPr="00B77D3E" w:rsidRDefault="00FB24FF" w:rsidP="00FB24FF">
            <w:r w:rsidRPr="00B77D3E">
              <w:rPr>
                <w:b/>
              </w:rPr>
              <w:t>Obchodní činnost/podnikání/profese:</w:t>
            </w:r>
          </w:p>
        </w:tc>
        <w:tc>
          <w:tcPr>
            <w:tcW w:w="6379" w:type="dxa"/>
          </w:tcPr>
          <w:p w14:paraId="0ACB91C5" w14:textId="77777777" w:rsidR="00FB24FF" w:rsidRPr="00B77D3E" w:rsidRDefault="00FB24FF" w:rsidP="00FB24FF"/>
        </w:tc>
      </w:tr>
    </w:tbl>
    <w:p w14:paraId="30BD05AB" w14:textId="77777777" w:rsidR="00FB24FF" w:rsidRPr="00B77D3E" w:rsidRDefault="00FB24FF" w:rsidP="00FB24FF"/>
    <w:tbl>
      <w:tblPr>
        <w:tblStyle w:val="Mkatabulky"/>
        <w:tblW w:w="10611" w:type="dxa"/>
        <w:tblInd w:w="-714" w:type="dxa"/>
        <w:tblLook w:val="04A0" w:firstRow="1" w:lastRow="0" w:firstColumn="1" w:lastColumn="0" w:noHBand="0" w:noVBand="1"/>
      </w:tblPr>
      <w:tblGrid>
        <w:gridCol w:w="2222"/>
        <w:gridCol w:w="1816"/>
        <w:gridCol w:w="1207"/>
        <w:gridCol w:w="1291"/>
        <w:gridCol w:w="1421"/>
        <w:gridCol w:w="1256"/>
        <w:gridCol w:w="1398"/>
      </w:tblGrid>
      <w:tr w:rsidR="0063668A" w:rsidRPr="00B77D3E" w14:paraId="7275300B" w14:textId="77777777" w:rsidTr="0063668A">
        <w:tc>
          <w:tcPr>
            <w:tcW w:w="2222" w:type="dxa"/>
          </w:tcPr>
          <w:p w14:paraId="5E8F4A82" w14:textId="77777777" w:rsidR="0063668A" w:rsidRPr="006810FF" w:rsidRDefault="0063668A" w:rsidP="007F6A3F">
            <w:pPr>
              <w:rPr>
                <w:b/>
              </w:rPr>
            </w:pPr>
            <w:r w:rsidRPr="006810FF">
              <w:rPr>
                <w:b/>
              </w:rPr>
              <w:t>Obchodní název výrobku</w:t>
            </w:r>
          </w:p>
        </w:tc>
        <w:tc>
          <w:tcPr>
            <w:tcW w:w="1816" w:type="dxa"/>
          </w:tcPr>
          <w:p w14:paraId="3A2A51D1" w14:textId="77777777" w:rsidR="0063668A" w:rsidRPr="006810FF" w:rsidRDefault="0063668A" w:rsidP="007F6A3F">
            <w:r w:rsidRPr="006810FF">
              <w:rPr>
                <w:b/>
              </w:rPr>
              <w:t>Prekurzor výbušnin podléhající omezení</w:t>
            </w:r>
          </w:p>
        </w:tc>
        <w:tc>
          <w:tcPr>
            <w:tcW w:w="1207" w:type="dxa"/>
          </w:tcPr>
          <w:p w14:paraId="04918AAF" w14:textId="77777777" w:rsidR="0063668A" w:rsidRPr="006810FF" w:rsidRDefault="0063668A" w:rsidP="007F6A3F">
            <w:r w:rsidRPr="006810FF">
              <w:rPr>
                <w:b/>
              </w:rPr>
              <w:t>Číslo CAS:</w:t>
            </w:r>
          </w:p>
        </w:tc>
        <w:tc>
          <w:tcPr>
            <w:tcW w:w="1291" w:type="dxa"/>
          </w:tcPr>
          <w:p w14:paraId="5E820130" w14:textId="77777777" w:rsidR="0063668A" w:rsidRPr="006810FF" w:rsidRDefault="0063668A" w:rsidP="007F6A3F">
            <w:pPr>
              <w:rPr>
                <w:b/>
              </w:rPr>
            </w:pPr>
            <w:r w:rsidRPr="006810FF">
              <w:rPr>
                <w:b/>
              </w:rPr>
              <w:t>Číslo ES</w:t>
            </w:r>
          </w:p>
        </w:tc>
        <w:tc>
          <w:tcPr>
            <w:tcW w:w="1421" w:type="dxa"/>
          </w:tcPr>
          <w:p w14:paraId="3C746F52" w14:textId="77777777" w:rsidR="0063668A" w:rsidRPr="006810FF" w:rsidRDefault="0063668A" w:rsidP="007F6A3F">
            <w:r w:rsidRPr="006810FF">
              <w:rPr>
                <w:b/>
              </w:rPr>
              <w:t>Koncentrace:</w:t>
            </w:r>
          </w:p>
        </w:tc>
        <w:tc>
          <w:tcPr>
            <w:tcW w:w="1256" w:type="dxa"/>
          </w:tcPr>
          <w:p w14:paraId="59DF714F" w14:textId="77777777" w:rsidR="0063668A" w:rsidRPr="006810FF" w:rsidRDefault="0063668A" w:rsidP="007F6A3F">
            <w:r w:rsidRPr="006810FF">
              <w:rPr>
                <w:b/>
              </w:rPr>
              <w:t xml:space="preserve">Množství </w:t>
            </w:r>
            <w:r w:rsidRPr="006810FF">
              <w:rPr>
                <w:b/>
              </w:rPr>
              <w:br/>
              <w:t>v t:</w:t>
            </w:r>
          </w:p>
        </w:tc>
        <w:tc>
          <w:tcPr>
            <w:tcW w:w="1398" w:type="dxa"/>
          </w:tcPr>
          <w:p w14:paraId="6C0AB957" w14:textId="77777777" w:rsidR="0063668A" w:rsidRPr="006810FF" w:rsidRDefault="0063668A" w:rsidP="007F6A3F">
            <w:r w:rsidRPr="006810FF">
              <w:rPr>
                <w:b/>
              </w:rPr>
              <w:t>Zamýšlené použití:</w:t>
            </w:r>
          </w:p>
        </w:tc>
      </w:tr>
      <w:tr w:rsidR="00B115EA" w:rsidRPr="00B77D3E" w14:paraId="12C080A4" w14:textId="77777777" w:rsidTr="00B115EA">
        <w:tc>
          <w:tcPr>
            <w:tcW w:w="2222" w:type="dxa"/>
            <w:shd w:val="clear" w:color="auto" w:fill="FFFFFF" w:themeFill="background1"/>
            <w:vAlign w:val="bottom"/>
          </w:tcPr>
          <w:p w14:paraId="14C11680" w14:textId="77777777" w:rsidR="00B115EA" w:rsidRPr="006810FF" w:rsidRDefault="00B115EA" w:rsidP="00B115EA">
            <w:r w:rsidRPr="006810FF">
              <w:t>LOVOFERT LAV 27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F3C2" w14:textId="77777777" w:rsidR="00B115EA" w:rsidRPr="006810FF" w:rsidRDefault="00B115EA" w:rsidP="00B115EA">
            <w:r w:rsidRPr="006810FF">
              <w:t>dusičnan amonný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C2959" w14:textId="77777777" w:rsidR="00B115EA" w:rsidRPr="006810FF" w:rsidRDefault="00B115EA" w:rsidP="00B115EA">
            <w:r w:rsidRPr="006810FF">
              <w:t>6484-52-2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CB2D4C" w14:textId="77777777" w:rsidR="00B115EA" w:rsidRPr="006810FF" w:rsidRDefault="00B115EA" w:rsidP="00B115EA">
            <w:r w:rsidRPr="006810FF">
              <w:t>229-347-8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95A118" w14:textId="77777777" w:rsidR="00B115EA" w:rsidRPr="006810FF" w:rsidRDefault="00B115EA" w:rsidP="00B115EA">
            <w:r w:rsidRPr="006810FF">
              <w:t xml:space="preserve">max </w:t>
            </w:r>
            <w:proofErr w:type="gramStart"/>
            <w:r w:rsidRPr="006810FF">
              <w:t>79%</w:t>
            </w:r>
            <w:proofErr w:type="gramEnd"/>
            <w:r w:rsidRPr="006810FF">
              <w:t xml:space="preserve"> DA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1251B917" w14:textId="77777777" w:rsidR="00B115EA" w:rsidRPr="006810FF" w:rsidRDefault="00B115EA" w:rsidP="00B115EA">
            <w:pPr>
              <w:jc w:val="right"/>
            </w:pPr>
          </w:p>
        </w:tc>
        <w:tc>
          <w:tcPr>
            <w:tcW w:w="1398" w:type="dxa"/>
            <w:shd w:val="clear" w:color="auto" w:fill="FFFFFF" w:themeFill="background1"/>
            <w:vAlign w:val="bottom"/>
          </w:tcPr>
          <w:p w14:paraId="643650A4" w14:textId="77777777" w:rsidR="00B115EA" w:rsidRPr="006810FF" w:rsidRDefault="00DE1349" w:rsidP="00B115EA">
            <w:r w:rsidRPr="006810FF">
              <w:t>hnojivo</w:t>
            </w:r>
          </w:p>
        </w:tc>
      </w:tr>
      <w:tr w:rsidR="00DE1349" w:rsidRPr="00B77D3E" w14:paraId="49B98619" w14:textId="77777777" w:rsidTr="00EA00A6">
        <w:tc>
          <w:tcPr>
            <w:tcW w:w="2222" w:type="dxa"/>
            <w:shd w:val="clear" w:color="auto" w:fill="FFFFFF" w:themeFill="background1"/>
            <w:vAlign w:val="bottom"/>
          </w:tcPr>
          <w:p w14:paraId="7E13DDFA" w14:textId="77777777" w:rsidR="00DE1349" w:rsidRPr="006810FF" w:rsidRDefault="00DE1349" w:rsidP="00DE1349">
            <w:r w:rsidRPr="006810FF">
              <w:t>LOVOFERT LAD 27</w:t>
            </w:r>
          </w:p>
        </w:tc>
        <w:tc>
          <w:tcPr>
            <w:tcW w:w="1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7CE2F" w14:textId="77777777" w:rsidR="00DE1349" w:rsidRPr="006810FF" w:rsidRDefault="00DE1349" w:rsidP="00DE1349">
            <w:r w:rsidRPr="006810FF">
              <w:t>dusičnan amonný</w:t>
            </w:r>
          </w:p>
        </w:tc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EDBF6A" w14:textId="77777777" w:rsidR="00DE1349" w:rsidRPr="006810FF" w:rsidRDefault="00DE1349" w:rsidP="00DE1349">
            <w:r w:rsidRPr="006810FF">
              <w:t>6484-52-2</w:t>
            </w:r>
          </w:p>
        </w:tc>
        <w:tc>
          <w:tcPr>
            <w:tcW w:w="12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4ECEB" w14:textId="77777777" w:rsidR="00DE1349" w:rsidRPr="006810FF" w:rsidRDefault="00DE1349" w:rsidP="00DE1349">
            <w:r w:rsidRPr="006810FF">
              <w:t>229-347-8</w:t>
            </w:r>
          </w:p>
        </w:tc>
        <w:tc>
          <w:tcPr>
            <w:tcW w:w="142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91E20B" w14:textId="77777777" w:rsidR="00DE1349" w:rsidRPr="006810FF" w:rsidRDefault="00DE1349" w:rsidP="00DE1349">
            <w:r w:rsidRPr="006810FF">
              <w:t xml:space="preserve">max </w:t>
            </w:r>
            <w:proofErr w:type="gramStart"/>
            <w:r w:rsidRPr="006810FF">
              <w:t>79%</w:t>
            </w:r>
            <w:proofErr w:type="gramEnd"/>
            <w:r w:rsidRPr="006810FF">
              <w:t xml:space="preserve"> DA</w:t>
            </w:r>
          </w:p>
        </w:tc>
        <w:tc>
          <w:tcPr>
            <w:tcW w:w="1256" w:type="dxa"/>
            <w:shd w:val="clear" w:color="auto" w:fill="FFFFFF" w:themeFill="background1"/>
            <w:vAlign w:val="bottom"/>
          </w:tcPr>
          <w:p w14:paraId="7F997E55" w14:textId="77777777" w:rsidR="00DE1349" w:rsidRPr="006810FF" w:rsidRDefault="00DE1349" w:rsidP="00DE1349">
            <w:pPr>
              <w:jc w:val="right"/>
            </w:pPr>
          </w:p>
        </w:tc>
        <w:tc>
          <w:tcPr>
            <w:tcW w:w="1398" w:type="dxa"/>
            <w:shd w:val="clear" w:color="auto" w:fill="FFFFFF" w:themeFill="background1"/>
          </w:tcPr>
          <w:p w14:paraId="3E9087E1" w14:textId="77777777" w:rsidR="00DE1349" w:rsidRPr="006810FF" w:rsidRDefault="00DE1349" w:rsidP="00DE1349">
            <w:r w:rsidRPr="006810FF">
              <w:t>hnojivo</w:t>
            </w:r>
          </w:p>
        </w:tc>
      </w:tr>
    </w:tbl>
    <w:p w14:paraId="0CA6634B" w14:textId="77777777" w:rsidR="008B0912" w:rsidRDefault="008B0912" w:rsidP="00FB24FF"/>
    <w:p w14:paraId="526FCDA7" w14:textId="295067AF" w:rsidR="00FB24FF" w:rsidRPr="008B0912" w:rsidRDefault="00FB24FF" w:rsidP="00FB24FF">
      <w:pPr>
        <w:rPr>
          <w:sz w:val="24"/>
          <w:szCs w:val="24"/>
        </w:rPr>
      </w:pPr>
      <w:r w:rsidRPr="008B0912">
        <w:rPr>
          <w:sz w:val="24"/>
          <w:szCs w:val="24"/>
        </w:rPr>
        <w:t xml:space="preserve">Tímto prohlašuji, že komerční výrobek a látka nebo směs, které obsahuje, budou použity pouze k uvedenému účelu, který je v každém případě oprávněný, a bude prodán či dodán jinému zákazníkovi pouze tehdy, pokud tato osoba učiní podobné prohlášení o použití respektující omezení stanovená nařízením (EU) 2019/1148 pro zpřístupňování osobám z řad široké veřejnosti. </w:t>
      </w:r>
    </w:p>
    <w:p w14:paraId="2631535D" w14:textId="77777777" w:rsidR="00A226D7" w:rsidRPr="008B0912" w:rsidRDefault="00A226D7" w:rsidP="00FB24FF">
      <w:pPr>
        <w:rPr>
          <w:sz w:val="24"/>
          <w:szCs w:val="24"/>
        </w:rPr>
      </w:pPr>
    </w:p>
    <w:tbl>
      <w:tblPr>
        <w:tblStyle w:val="Mkatabulky"/>
        <w:tblW w:w="10632" w:type="dxa"/>
        <w:tblInd w:w="-714" w:type="dxa"/>
        <w:tblLook w:val="04A0" w:firstRow="1" w:lastRow="0" w:firstColumn="1" w:lastColumn="0" w:noHBand="0" w:noVBand="1"/>
      </w:tblPr>
      <w:tblGrid>
        <w:gridCol w:w="2410"/>
        <w:gridCol w:w="3261"/>
        <w:gridCol w:w="1275"/>
        <w:gridCol w:w="3686"/>
      </w:tblGrid>
      <w:tr w:rsidR="003602D7" w:rsidRPr="008B0912" w14:paraId="1E61DC1B" w14:textId="77777777" w:rsidTr="003602D7">
        <w:trPr>
          <w:trHeight w:val="687"/>
        </w:trPr>
        <w:tc>
          <w:tcPr>
            <w:tcW w:w="2410" w:type="dxa"/>
          </w:tcPr>
          <w:p w14:paraId="4D57EC81" w14:textId="77777777" w:rsidR="003602D7" w:rsidRPr="008B0912" w:rsidRDefault="003602D7" w:rsidP="00285D3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8B0912">
              <w:rPr>
                <w:b/>
                <w:sz w:val="24"/>
                <w:szCs w:val="24"/>
              </w:rPr>
              <w:fldChar w:fldCharType="begin"/>
            </w:r>
            <w:r w:rsidRPr="008B0912">
              <w:rPr>
                <w:b/>
                <w:sz w:val="24"/>
                <w:szCs w:val="24"/>
              </w:rPr>
              <w:instrText xml:space="preserve"> DOCVARIABLE Section_3__Name </w:instrText>
            </w:r>
            <w:r w:rsidRPr="008B0912">
              <w:rPr>
                <w:b/>
                <w:sz w:val="24"/>
                <w:szCs w:val="24"/>
              </w:rPr>
              <w:fldChar w:fldCharType="separate"/>
            </w:r>
            <w:r w:rsidRPr="008B0912">
              <w:rPr>
                <w:b/>
                <w:sz w:val="24"/>
                <w:szCs w:val="24"/>
              </w:rPr>
              <w:t>Jméno a příjmení zplnomocněného zástupce:</w:t>
            </w:r>
            <w:r w:rsidRPr="008B0912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</w:tcPr>
          <w:p w14:paraId="4118E2E9" w14:textId="77777777" w:rsidR="003602D7" w:rsidRPr="008B0912" w:rsidRDefault="003602D7" w:rsidP="00285D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1275" w:type="dxa"/>
          </w:tcPr>
          <w:p w14:paraId="72C5DA82" w14:textId="77777777" w:rsidR="003602D7" w:rsidRPr="008B0912" w:rsidRDefault="003602D7" w:rsidP="00285D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  <w:r w:rsidRPr="008B0912">
              <w:rPr>
                <w:b/>
                <w:sz w:val="24"/>
                <w:szCs w:val="24"/>
              </w:rPr>
              <w:fldChar w:fldCharType="begin"/>
            </w:r>
            <w:r w:rsidRPr="008B0912">
              <w:rPr>
                <w:b/>
                <w:sz w:val="24"/>
                <w:szCs w:val="24"/>
              </w:rPr>
              <w:instrText xml:space="preserve"> DOCVARIABLE Section_3__signature </w:instrText>
            </w:r>
            <w:r w:rsidRPr="008B0912">
              <w:rPr>
                <w:b/>
                <w:sz w:val="24"/>
                <w:szCs w:val="24"/>
              </w:rPr>
              <w:fldChar w:fldCharType="separate"/>
            </w:r>
            <w:r w:rsidRPr="008B0912">
              <w:rPr>
                <w:b/>
                <w:sz w:val="24"/>
                <w:szCs w:val="24"/>
              </w:rPr>
              <w:t>Podpis: </w:t>
            </w:r>
            <w:r w:rsidRPr="008B0912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686" w:type="dxa"/>
          </w:tcPr>
          <w:p w14:paraId="2B5CB393" w14:textId="77777777" w:rsidR="003602D7" w:rsidRPr="008B0912" w:rsidRDefault="003602D7" w:rsidP="00285D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</w:p>
        </w:tc>
      </w:tr>
      <w:tr w:rsidR="003602D7" w:rsidRPr="008B0912" w14:paraId="2BFB2790" w14:textId="77777777" w:rsidTr="006810FF">
        <w:trPr>
          <w:trHeight w:val="755"/>
        </w:trPr>
        <w:tc>
          <w:tcPr>
            <w:tcW w:w="2410" w:type="dxa"/>
          </w:tcPr>
          <w:p w14:paraId="2B45B926" w14:textId="77777777" w:rsidR="003602D7" w:rsidRPr="008B0912" w:rsidRDefault="003602D7" w:rsidP="00285D35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0912">
              <w:rPr>
                <w:b/>
                <w:sz w:val="24"/>
                <w:szCs w:val="24"/>
              </w:rPr>
              <w:fldChar w:fldCharType="begin"/>
            </w:r>
            <w:r w:rsidRPr="008B0912">
              <w:rPr>
                <w:b/>
                <w:sz w:val="24"/>
                <w:szCs w:val="24"/>
              </w:rPr>
              <w:instrText xml:space="preserve"> DOCVARIABLE Section_3__Function </w:instrText>
            </w:r>
            <w:r w:rsidRPr="008B0912">
              <w:rPr>
                <w:b/>
                <w:sz w:val="24"/>
                <w:szCs w:val="24"/>
              </w:rPr>
              <w:fldChar w:fldCharType="separate"/>
            </w:r>
            <w:r w:rsidRPr="008B0912">
              <w:rPr>
                <w:b/>
                <w:sz w:val="24"/>
                <w:szCs w:val="24"/>
              </w:rPr>
              <w:fldChar w:fldCharType="begin"/>
            </w:r>
            <w:r w:rsidRPr="008B0912">
              <w:rPr>
                <w:b/>
                <w:sz w:val="24"/>
                <w:szCs w:val="24"/>
              </w:rPr>
              <w:instrText xml:space="preserve"> DOCVARIABLE Section_3__Function </w:instrText>
            </w:r>
            <w:r w:rsidRPr="008B0912">
              <w:rPr>
                <w:b/>
                <w:sz w:val="24"/>
                <w:szCs w:val="24"/>
              </w:rPr>
              <w:fldChar w:fldCharType="separate"/>
            </w:r>
            <w:r w:rsidRPr="008B0912">
              <w:rPr>
                <w:b/>
                <w:sz w:val="24"/>
                <w:szCs w:val="24"/>
              </w:rPr>
              <w:t>Funkce: </w:t>
            </w:r>
            <w:r w:rsidRPr="008B0912">
              <w:rPr>
                <w:b/>
                <w:sz w:val="24"/>
                <w:szCs w:val="24"/>
              </w:rPr>
              <w:fldChar w:fldCharType="end"/>
            </w:r>
            <w:r w:rsidRPr="008B0912">
              <w:rPr>
                <w:b/>
                <w:sz w:val="24"/>
                <w:szCs w:val="24"/>
              </w:rPr>
              <w:t>: </w:t>
            </w:r>
            <w:r w:rsidRPr="008B0912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261" w:type="dxa"/>
          </w:tcPr>
          <w:p w14:paraId="2CDCA945" w14:textId="77777777" w:rsidR="003602D7" w:rsidRPr="008B0912" w:rsidRDefault="003602D7" w:rsidP="00285D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</w:p>
        </w:tc>
        <w:tc>
          <w:tcPr>
            <w:tcW w:w="1275" w:type="dxa"/>
          </w:tcPr>
          <w:p w14:paraId="285673F7" w14:textId="77777777" w:rsidR="003602D7" w:rsidRPr="008B0912" w:rsidRDefault="003602D7" w:rsidP="00285D35">
            <w:pPr>
              <w:shd w:val="clear" w:color="auto" w:fill="FFFFFF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8B0912">
              <w:rPr>
                <w:b/>
                <w:sz w:val="24"/>
                <w:szCs w:val="24"/>
              </w:rPr>
              <w:fldChar w:fldCharType="begin"/>
            </w:r>
            <w:r w:rsidRPr="008B0912">
              <w:rPr>
                <w:b/>
                <w:sz w:val="24"/>
                <w:szCs w:val="24"/>
              </w:rPr>
              <w:instrText xml:space="preserve"> DOCVARIABLE Section_3__Date </w:instrText>
            </w:r>
            <w:r w:rsidRPr="008B0912">
              <w:rPr>
                <w:b/>
                <w:sz w:val="24"/>
                <w:szCs w:val="24"/>
              </w:rPr>
              <w:fldChar w:fldCharType="separate"/>
            </w:r>
            <w:r w:rsidRPr="008B0912">
              <w:rPr>
                <w:b/>
                <w:sz w:val="24"/>
                <w:szCs w:val="24"/>
              </w:rPr>
              <w:t>Datum:</w:t>
            </w:r>
            <w:r w:rsidRPr="008B0912">
              <w:rPr>
                <w:b/>
                <w:sz w:val="24"/>
                <w:szCs w:val="24"/>
              </w:rPr>
              <w:fldChar w:fldCharType="end"/>
            </w:r>
          </w:p>
        </w:tc>
        <w:tc>
          <w:tcPr>
            <w:tcW w:w="3686" w:type="dxa"/>
          </w:tcPr>
          <w:p w14:paraId="17AB918A" w14:textId="77777777" w:rsidR="003602D7" w:rsidRPr="008B0912" w:rsidRDefault="003602D7" w:rsidP="00285D35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val="en-GB" w:eastAsia="zh-CN"/>
              </w:rPr>
            </w:pPr>
          </w:p>
        </w:tc>
      </w:tr>
    </w:tbl>
    <w:p w14:paraId="5D297D47" w14:textId="0D87446D" w:rsidR="003602D7" w:rsidRDefault="003602D7" w:rsidP="00FB24FF">
      <w:pPr>
        <w:rPr>
          <w:sz w:val="10"/>
          <w:szCs w:val="10"/>
        </w:rPr>
      </w:pPr>
    </w:p>
    <w:p w14:paraId="4B17BF01" w14:textId="77777777" w:rsidR="000C5043" w:rsidRDefault="000C5043" w:rsidP="002D3AB0">
      <w:pPr>
        <w:jc w:val="center"/>
      </w:pPr>
    </w:p>
    <w:p w14:paraId="75C0874E" w14:textId="542B2C6E" w:rsidR="002D3AB0" w:rsidRDefault="002D3AB0" w:rsidP="002D3AB0">
      <w:pPr>
        <w:jc w:val="center"/>
      </w:pPr>
    </w:p>
    <w:p w14:paraId="51ACC65E" w14:textId="48015256" w:rsidR="002D3AB0" w:rsidRPr="005556DB" w:rsidRDefault="002D3AB0" w:rsidP="002D3AB0">
      <w:r w:rsidRPr="005556DB">
        <w:t>Vážený zákazníku,</w:t>
      </w:r>
    </w:p>
    <w:p w14:paraId="6C42EFF8" w14:textId="77777777" w:rsidR="002D3AB0" w:rsidRPr="005556DB" w:rsidRDefault="002D3AB0" w:rsidP="002D3AB0">
      <w:pPr>
        <w:pStyle w:val="Odstavecseseznamem"/>
      </w:pPr>
      <w:r w:rsidRPr="005556DB">
        <w:rPr>
          <w:b/>
          <w:bCs/>
        </w:rPr>
        <w:t xml:space="preserve">1.února 2021 vstupuje v platnost </w:t>
      </w:r>
      <w:bookmarkStart w:id="0" w:name="_Hlk63939991"/>
      <w:r w:rsidRPr="005556DB">
        <w:rPr>
          <w:b/>
          <w:bCs/>
        </w:rPr>
        <w:t>Nařízení EU 2019/1148</w:t>
      </w:r>
      <w:r w:rsidRPr="005556DB">
        <w:t xml:space="preserve"> o uvádění prekurzorů výbušnin na trh a o jejích používání</w:t>
      </w:r>
      <w:bookmarkEnd w:id="0"/>
      <w:r w:rsidRPr="005556DB">
        <w:t xml:space="preserve"> (dále jen „Nařízení“), které stanoví pravidla pro dodávky látek podléhajících omezení uvedených v příloze I Nařízení.</w:t>
      </w:r>
    </w:p>
    <w:p w14:paraId="5EFCE58B" w14:textId="77777777" w:rsidR="002D3AB0" w:rsidRPr="005556DB" w:rsidRDefault="002D3AB0" w:rsidP="002D3AB0">
      <w:pPr>
        <w:pStyle w:val="Odstavecseseznamem"/>
      </w:pPr>
      <w:r w:rsidRPr="005556DB">
        <w:t>Nařízení vyžaduje, aby profesionální uživatelé a další hospodářské subjekty:</w:t>
      </w:r>
    </w:p>
    <w:p w14:paraId="26FEE76E" w14:textId="77777777" w:rsidR="002D3AB0" w:rsidRPr="005556DB" w:rsidRDefault="002D3AB0" w:rsidP="002D3AB0">
      <w:pPr>
        <w:pStyle w:val="Odstavecseseznamem"/>
        <w:numPr>
          <w:ilvl w:val="0"/>
          <w:numId w:val="1"/>
        </w:numPr>
      </w:pPr>
      <w:r w:rsidRPr="005556DB">
        <w:t>Informovali dodavatelský řetězec o jejich povinnostech podle Nařízení a</w:t>
      </w:r>
    </w:p>
    <w:p w14:paraId="1C0129F3" w14:textId="77777777" w:rsidR="002D3AB0" w:rsidRPr="005556DB" w:rsidRDefault="002D3AB0" w:rsidP="002D3AB0">
      <w:pPr>
        <w:pStyle w:val="Odstavecseseznamem"/>
        <w:numPr>
          <w:ilvl w:val="0"/>
          <w:numId w:val="1"/>
        </w:numPr>
      </w:pPr>
      <w:proofErr w:type="gramStart"/>
      <w:r w:rsidRPr="005556DB">
        <w:t>před  tím</w:t>
      </w:r>
      <w:proofErr w:type="gramEnd"/>
      <w:r w:rsidRPr="005556DB">
        <w:t>, než dojde k prodeji, ověřili své zákazníky (ověření totožnosti a dalších údajů, které nařízení vyžaduje)</w:t>
      </w:r>
    </w:p>
    <w:p w14:paraId="73B31196" w14:textId="77777777" w:rsidR="002D3AB0" w:rsidRPr="005556DB" w:rsidRDefault="002D3AB0" w:rsidP="002D3AB0">
      <w:pPr>
        <w:pStyle w:val="Odstavecseseznamem"/>
        <w:ind w:left="1080"/>
      </w:pPr>
      <w:r w:rsidRPr="005556DB">
        <w:t xml:space="preserve">Co se týče bodu 1, informujeme vás, že Nařízení zakazuje prodej, nákup, držení nebo používání prekurzorů výbušnin podléhajících omezení osobám z řad široké veřejnosti, jakož i dovoz, a používání uvedených látek těmito osobami. S výjimkou osob, které jsou držiteli povolení vydaného členským státem EHP/EU. Veškeré podezřelé transakce, zmizení a krádeže jakýchkoliv produktů, které obsahují látky uvedené v přílohách I a II Nařízení, musejí rovněž být neprodleně oznámeny na národním kontaktním místě. </w:t>
      </w:r>
    </w:p>
    <w:p w14:paraId="37B69E2E" w14:textId="77777777" w:rsidR="002D3AB0" w:rsidRPr="005556DB" w:rsidRDefault="002D3AB0" w:rsidP="002D3AB0">
      <w:pPr>
        <w:pStyle w:val="Odstavecseseznamem"/>
        <w:ind w:left="1080"/>
        <w:rPr>
          <w:b/>
          <w:bCs/>
        </w:rPr>
      </w:pPr>
      <w:r w:rsidRPr="005556DB">
        <w:rPr>
          <w:b/>
          <w:bCs/>
        </w:rPr>
        <w:t>Co se týče bodu 2, podle Nařízení musejí profesionální uživatelé a další hospodářské subjekty ověřit, že jejich zákazníci jsou skutečně taktéž profesionální uživatelé nebo hospodářské subjekty, nikoli členové široké veřejnosti bez příslušného povolení. Proto je třeba ověřit totožnost zákazníka. V případě právnických osob (společností) je třeba ověřit totožnost fyzické osoby, která potenciálního zákazníka zastupuje.</w:t>
      </w:r>
    </w:p>
    <w:p w14:paraId="73DF19C2" w14:textId="77777777" w:rsidR="002D3AB0" w:rsidRPr="005556DB" w:rsidRDefault="002D3AB0" w:rsidP="002D3AB0">
      <w:pPr>
        <w:pStyle w:val="Odstavecseseznamem"/>
        <w:ind w:left="1080"/>
      </w:pPr>
    </w:p>
    <w:p w14:paraId="50EC1984" w14:textId="77777777" w:rsidR="002D3AB0" w:rsidRPr="005556DB" w:rsidRDefault="002D3AB0" w:rsidP="002D3AB0">
      <w:pPr>
        <w:pStyle w:val="Odstavecseseznamem"/>
        <w:ind w:left="1080"/>
      </w:pPr>
      <w:r w:rsidRPr="005556DB">
        <w:t xml:space="preserve">Další informace naleznete na adrese: </w:t>
      </w:r>
      <w:hyperlink r:id="rId8" w:history="1">
        <w:r w:rsidRPr="005556DB">
          <w:rPr>
            <w:rStyle w:val="Hypertextovodkaz"/>
          </w:rPr>
          <w:t>https://ec.europa.eu/home-affairs/what-we-do/policies/counter-terrorism/protection/implementation-explosives-precursors-legislation_en</w:t>
        </w:r>
      </w:hyperlink>
      <w:r w:rsidRPr="005556DB">
        <w:t>.</w:t>
      </w:r>
    </w:p>
    <w:p w14:paraId="0C9BC87B" w14:textId="77777777" w:rsidR="002D3AB0" w:rsidRPr="005556DB" w:rsidRDefault="002D3AB0" w:rsidP="002D3AB0">
      <w:pPr>
        <w:pStyle w:val="Odstavecseseznamem"/>
        <w:ind w:left="1080"/>
      </w:pPr>
    </w:p>
    <w:p w14:paraId="33698F75" w14:textId="23AC1534" w:rsidR="002D3AB0" w:rsidRPr="005556DB" w:rsidRDefault="002D3AB0" w:rsidP="002D3AB0">
      <w:r w:rsidRPr="005556DB">
        <w:t xml:space="preserve"> </w:t>
      </w:r>
    </w:p>
    <w:p w14:paraId="73B1556A" w14:textId="77777777" w:rsidR="002D3AB0" w:rsidRPr="005556DB" w:rsidRDefault="002D3AB0" w:rsidP="002D3AB0">
      <w:pPr>
        <w:pStyle w:val="Odstavecseseznamem"/>
        <w:ind w:left="1080"/>
      </w:pPr>
      <w:r w:rsidRPr="005556DB">
        <w:t>Osobní údaje shromažďované a zpracovávané z důvodu splnění právní povinnosti, kterou</w:t>
      </w:r>
    </w:p>
    <w:p w14:paraId="7526C282" w14:textId="77777777" w:rsidR="002D3AB0" w:rsidRPr="005556DB" w:rsidRDefault="002D3AB0" w:rsidP="002D3AB0">
      <w:pPr>
        <w:pStyle w:val="Odstavecseseznamem"/>
        <w:ind w:left="1080"/>
      </w:pPr>
      <w:r w:rsidRPr="005556DB">
        <w:t>Nařizuje výše uvedený právní předpis, budou uloženy po dobu vyžadovanou právními předpisy a mohou být sděleny příslušným úřadům v případě, že o to požádají.</w:t>
      </w:r>
    </w:p>
    <w:p w14:paraId="1958C8C4" w14:textId="7E1ABF65" w:rsidR="002D3AB0" w:rsidRDefault="002D3AB0" w:rsidP="00FB24FF">
      <w:pPr>
        <w:rPr>
          <w:sz w:val="10"/>
          <w:szCs w:val="10"/>
        </w:rPr>
      </w:pPr>
    </w:p>
    <w:p w14:paraId="632D8EBC" w14:textId="77777777" w:rsidR="002D3AB0" w:rsidRDefault="002D3AB0" w:rsidP="00FB24FF">
      <w:pPr>
        <w:rPr>
          <w:sz w:val="10"/>
          <w:szCs w:val="10"/>
        </w:rPr>
      </w:pPr>
    </w:p>
    <w:sectPr w:rsidR="002D3AB0" w:rsidSect="00B221DB">
      <w:headerReference w:type="default" r:id="rId9"/>
      <w:footerReference w:type="default" r:id="rId10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645C66" w14:textId="77777777" w:rsidR="00491ECB" w:rsidRDefault="00491ECB" w:rsidP="00B221DB">
      <w:r>
        <w:separator/>
      </w:r>
    </w:p>
  </w:endnote>
  <w:endnote w:type="continuationSeparator" w:id="0">
    <w:p w14:paraId="02824C02" w14:textId="77777777" w:rsidR="00491ECB" w:rsidRDefault="00491ECB" w:rsidP="00B221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ans-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2312" w:type="dxa"/>
      <w:tblInd w:w="-1206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67"/>
      <w:gridCol w:w="1461"/>
      <w:gridCol w:w="2268"/>
      <w:gridCol w:w="2693"/>
      <w:gridCol w:w="2131"/>
      <w:gridCol w:w="1100"/>
      <w:gridCol w:w="1932"/>
      <w:gridCol w:w="160"/>
    </w:tblGrid>
    <w:tr w:rsidR="00B221DB" w14:paraId="336EF238" w14:textId="77777777" w:rsidTr="00FE1AF3">
      <w:trPr>
        <w:cantSplit/>
        <w:trHeight w:val="911"/>
        <w:tblHeader/>
      </w:trPr>
      <w:tc>
        <w:tcPr>
          <w:tcW w:w="567" w:type="dxa"/>
          <w:vMerge w:val="restart"/>
        </w:tcPr>
        <w:p w14:paraId="58759E44" w14:textId="52D1F76B" w:rsidR="00B221DB" w:rsidRDefault="00B221DB" w:rsidP="00FE1AF3">
          <w:pPr>
            <w:pStyle w:val="Zpat"/>
          </w:pPr>
        </w:p>
      </w:tc>
      <w:tc>
        <w:tcPr>
          <w:tcW w:w="1461" w:type="dxa"/>
        </w:tcPr>
        <w:p w14:paraId="663E69EF" w14:textId="77777777" w:rsidR="00B221DB" w:rsidRDefault="00B221DB" w:rsidP="00FE1AF3">
          <w:pPr>
            <w:pStyle w:val="Zpat"/>
          </w:pPr>
        </w:p>
        <w:p w14:paraId="33457497" w14:textId="6A33F4AC" w:rsidR="008B0912" w:rsidRDefault="008B0912" w:rsidP="00FE1AF3">
          <w:pPr>
            <w:pStyle w:val="Zpat"/>
          </w:pPr>
        </w:p>
      </w:tc>
      <w:tc>
        <w:tcPr>
          <w:tcW w:w="2268" w:type="dxa"/>
        </w:tcPr>
        <w:p w14:paraId="0A968F30" w14:textId="77777777" w:rsidR="00B221DB" w:rsidRDefault="00B221DB" w:rsidP="00FE1AF3">
          <w:pPr>
            <w:pStyle w:val="Zpat"/>
          </w:pPr>
        </w:p>
      </w:tc>
      <w:tc>
        <w:tcPr>
          <w:tcW w:w="2693" w:type="dxa"/>
        </w:tcPr>
        <w:p w14:paraId="4CFFDF1B" w14:textId="77777777" w:rsidR="00B221DB" w:rsidRDefault="00B221DB" w:rsidP="00FE1AF3">
          <w:pPr>
            <w:pStyle w:val="Zpat"/>
          </w:pPr>
        </w:p>
      </w:tc>
      <w:tc>
        <w:tcPr>
          <w:tcW w:w="2131" w:type="dxa"/>
          <w:vMerge w:val="restart"/>
          <w:vAlign w:val="center"/>
        </w:tcPr>
        <w:p w14:paraId="0F1EF145" w14:textId="77777777" w:rsidR="00B221DB" w:rsidRDefault="00B221DB" w:rsidP="00FE1AF3">
          <w:pPr>
            <w:pStyle w:val="Zpat"/>
            <w:jc w:val="center"/>
            <w:rPr>
              <w:noProof/>
            </w:rPr>
          </w:pPr>
        </w:p>
        <w:p w14:paraId="311A8B1B" w14:textId="1C80F691" w:rsidR="00B221DB" w:rsidRDefault="00B221DB" w:rsidP="00FE1AF3">
          <w:pPr>
            <w:pStyle w:val="Zpat"/>
            <w:jc w:val="center"/>
          </w:pPr>
        </w:p>
      </w:tc>
      <w:tc>
        <w:tcPr>
          <w:tcW w:w="1100" w:type="dxa"/>
          <w:vMerge w:val="restart"/>
          <w:vAlign w:val="center"/>
        </w:tcPr>
        <w:p w14:paraId="625756A2" w14:textId="77777777" w:rsidR="00B221DB" w:rsidRDefault="00B221DB" w:rsidP="00FE1AF3">
          <w:pPr>
            <w:pStyle w:val="Zpat"/>
            <w:jc w:val="center"/>
          </w:pPr>
        </w:p>
        <w:p w14:paraId="4BA37E29" w14:textId="34B65B1B" w:rsidR="00B221DB" w:rsidRDefault="00B221DB" w:rsidP="00FE1AF3">
          <w:pPr>
            <w:pStyle w:val="Zpat"/>
            <w:jc w:val="center"/>
          </w:pPr>
        </w:p>
      </w:tc>
      <w:tc>
        <w:tcPr>
          <w:tcW w:w="1932" w:type="dxa"/>
          <w:vMerge w:val="restart"/>
          <w:vAlign w:val="center"/>
        </w:tcPr>
        <w:p w14:paraId="5A2BC7A8" w14:textId="77777777" w:rsidR="00B221DB" w:rsidRDefault="00B221DB" w:rsidP="00FE1AF3">
          <w:pPr>
            <w:pStyle w:val="Zpat"/>
            <w:ind w:left="-23"/>
          </w:pPr>
        </w:p>
      </w:tc>
      <w:tc>
        <w:tcPr>
          <w:tcW w:w="160" w:type="dxa"/>
          <w:vMerge w:val="restart"/>
          <w:vAlign w:val="center"/>
        </w:tcPr>
        <w:p w14:paraId="5C974CEC" w14:textId="77777777" w:rsidR="00B221DB" w:rsidRDefault="00B221DB" w:rsidP="00FE1AF3">
          <w:pPr>
            <w:pStyle w:val="Zpat"/>
          </w:pPr>
        </w:p>
      </w:tc>
    </w:tr>
    <w:tr w:rsidR="00B221DB" w:rsidRPr="004C4330" w14:paraId="0C69209A" w14:textId="77777777" w:rsidTr="00FE1AF3">
      <w:trPr>
        <w:cantSplit/>
        <w:trHeight w:val="511"/>
        <w:tblHeader/>
      </w:trPr>
      <w:tc>
        <w:tcPr>
          <w:tcW w:w="567" w:type="dxa"/>
          <w:vMerge/>
        </w:tcPr>
        <w:p w14:paraId="424F2B2E" w14:textId="77777777" w:rsidR="00B221DB" w:rsidRPr="004C4330" w:rsidRDefault="00B221DB" w:rsidP="00FE1AF3">
          <w:pPr>
            <w:pStyle w:val="Zpat"/>
            <w:rPr>
              <w:rFonts w:cs="Arial"/>
              <w:sz w:val="14"/>
              <w:szCs w:val="12"/>
            </w:rPr>
          </w:pPr>
        </w:p>
      </w:tc>
      <w:tc>
        <w:tcPr>
          <w:tcW w:w="1461" w:type="dxa"/>
        </w:tcPr>
        <w:p w14:paraId="2AA38CC7" w14:textId="1FF71D05" w:rsidR="008B0912" w:rsidRPr="00CE64D3" w:rsidRDefault="008B0912" w:rsidP="00FE1AF3">
          <w:pPr>
            <w:pStyle w:val="Zpat"/>
            <w:rPr>
              <w:rFonts w:cs="Arial"/>
              <w:b/>
              <w:i/>
              <w:sz w:val="14"/>
              <w:szCs w:val="12"/>
            </w:rPr>
          </w:pPr>
        </w:p>
      </w:tc>
      <w:tc>
        <w:tcPr>
          <w:tcW w:w="2268" w:type="dxa"/>
        </w:tcPr>
        <w:p w14:paraId="329CB453" w14:textId="77777777" w:rsidR="00B221DB" w:rsidRPr="00CE64D3" w:rsidRDefault="00B221DB" w:rsidP="00FE1AF3">
          <w:pPr>
            <w:pStyle w:val="Zpat"/>
            <w:rPr>
              <w:rFonts w:cs="Arial"/>
              <w:b/>
              <w:i/>
              <w:sz w:val="12"/>
              <w:szCs w:val="12"/>
            </w:rPr>
          </w:pPr>
        </w:p>
      </w:tc>
      <w:tc>
        <w:tcPr>
          <w:tcW w:w="2693" w:type="dxa"/>
        </w:tcPr>
        <w:p w14:paraId="799BB44E" w14:textId="77777777" w:rsidR="00B221DB" w:rsidRPr="00CE64D3" w:rsidRDefault="00B221DB" w:rsidP="00FE1AF3">
          <w:pPr>
            <w:pStyle w:val="Zpat"/>
            <w:ind w:left="72"/>
            <w:rPr>
              <w:rFonts w:cs="Arial"/>
              <w:b/>
              <w:i/>
              <w:sz w:val="12"/>
              <w:szCs w:val="12"/>
            </w:rPr>
          </w:pPr>
        </w:p>
      </w:tc>
      <w:tc>
        <w:tcPr>
          <w:tcW w:w="2131" w:type="dxa"/>
          <w:vMerge/>
          <w:vAlign w:val="bottom"/>
        </w:tcPr>
        <w:p w14:paraId="6561057A" w14:textId="77777777" w:rsidR="00B221DB" w:rsidRPr="004C4330" w:rsidRDefault="00B221DB" w:rsidP="00FE1AF3">
          <w:pPr>
            <w:pStyle w:val="Zpat"/>
            <w:rPr>
              <w:rFonts w:cs="Arial"/>
              <w:b/>
              <w:i/>
            </w:rPr>
          </w:pPr>
        </w:p>
      </w:tc>
      <w:tc>
        <w:tcPr>
          <w:tcW w:w="1100" w:type="dxa"/>
          <w:vMerge/>
          <w:vAlign w:val="bottom"/>
        </w:tcPr>
        <w:p w14:paraId="561BFDF3" w14:textId="77777777" w:rsidR="00B221DB" w:rsidRPr="004C4330" w:rsidRDefault="00B221DB" w:rsidP="00FE1AF3">
          <w:pPr>
            <w:pStyle w:val="Zpat"/>
            <w:rPr>
              <w:rFonts w:cs="Arial"/>
              <w:b/>
              <w:i/>
            </w:rPr>
          </w:pPr>
        </w:p>
      </w:tc>
      <w:tc>
        <w:tcPr>
          <w:tcW w:w="1932" w:type="dxa"/>
          <w:vMerge/>
          <w:vAlign w:val="bottom"/>
        </w:tcPr>
        <w:p w14:paraId="0AEA2AF2" w14:textId="77777777" w:rsidR="00B221DB" w:rsidRPr="004C4330" w:rsidRDefault="00B221DB" w:rsidP="00FE1AF3">
          <w:pPr>
            <w:pStyle w:val="Zpat"/>
            <w:rPr>
              <w:rFonts w:cs="Arial"/>
              <w:b/>
              <w:i/>
            </w:rPr>
          </w:pPr>
        </w:p>
      </w:tc>
      <w:tc>
        <w:tcPr>
          <w:tcW w:w="160" w:type="dxa"/>
          <w:vMerge/>
          <w:vAlign w:val="bottom"/>
        </w:tcPr>
        <w:p w14:paraId="547E4D52" w14:textId="77777777" w:rsidR="00B221DB" w:rsidRPr="004C4330" w:rsidRDefault="00B221DB" w:rsidP="00FE1AF3">
          <w:pPr>
            <w:pStyle w:val="Zpat"/>
            <w:rPr>
              <w:rFonts w:cs="Arial"/>
              <w:b/>
              <w:i/>
            </w:rPr>
          </w:pPr>
        </w:p>
      </w:tc>
    </w:tr>
    <w:tr w:rsidR="00B221DB" w:rsidRPr="004C4330" w14:paraId="06182D7F" w14:textId="77777777" w:rsidTr="00FE1AF3">
      <w:trPr>
        <w:cantSplit/>
        <w:trHeight w:val="180"/>
        <w:tblHeader/>
      </w:trPr>
      <w:tc>
        <w:tcPr>
          <w:tcW w:w="12152" w:type="dxa"/>
          <w:gridSpan w:val="7"/>
        </w:tcPr>
        <w:p w14:paraId="3814774F" w14:textId="425DB6A0" w:rsidR="00B221DB" w:rsidRPr="00A8364F" w:rsidRDefault="00B221DB" w:rsidP="00FE1AF3">
          <w:pPr>
            <w:jc w:val="center"/>
            <w:rPr>
              <w:sz w:val="16"/>
            </w:rPr>
          </w:pPr>
        </w:p>
      </w:tc>
      <w:tc>
        <w:tcPr>
          <w:tcW w:w="160" w:type="dxa"/>
          <w:vAlign w:val="bottom"/>
        </w:tcPr>
        <w:p w14:paraId="0431D07E" w14:textId="77777777" w:rsidR="00B221DB" w:rsidRPr="004C4330" w:rsidRDefault="00B221DB" w:rsidP="00FE1AF3">
          <w:pPr>
            <w:pStyle w:val="Zpat"/>
            <w:rPr>
              <w:rFonts w:cs="Arial"/>
              <w:b/>
              <w:i/>
            </w:rPr>
          </w:pPr>
        </w:p>
      </w:tc>
    </w:tr>
  </w:tbl>
  <w:p w14:paraId="68960BB2" w14:textId="77777777" w:rsidR="00B221DB" w:rsidRDefault="00B221DB" w:rsidP="00B221D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B05786" w14:textId="77777777" w:rsidR="00491ECB" w:rsidRDefault="00491ECB" w:rsidP="00B221DB">
      <w:r>
        <w:separator/>
      </w:r>
    </w:p>
  </w:footnote>
  <w:footnote w:type="continuationSeparator" w:id="0">
    <w:p w14:paraId="40D661A5" w14:textId="77777777" w:rsidR="00491ECB" w:rsidRDefault="00491ECB" w:rsidP="00B221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CA4AE" w14:textId="77777777" w:rsidR="008B0912" w:rsidRDefault="008B0912" w:rsidP="008B0912">
    <w:pPr>
      <w:rPr>
        <w:sz w:val="24"/>
        <w:szCs w:val="24"/>
      </w:rPr>
    </w:pPr>
    <w:proofErr w:type="spellStart"/>
    <w:r w:rsidRPr="008B0912">
      <w:rPr>
        <w:rFonts w:ascii="sans-serif" w:hAnsi="sans-serif"/>
        <w:b/>
        <w:bCs/>
        <w:color w:val="000000"/>
        <w:sz w:val="24"/>
        <w:szCs w:val="24"/>
      </w:rPr>
      <w:t>A.G.Service</w:t>
    </w:r>
    <w:proofErr w:type="spellEnd"/>
    <w:r w:rsidRPr="008B0912">
      <w:rPr>
        <w:rFonts w:ascii="sans-serif" w:hAnsi="sans-serif"/>
        <w:b/>
        <w:bCs/>
        <w:color w:val="000000"/>
        <w:sz w:val="24"/>
        <w:szCs w:val="24"/>
      </w:rPr>
      <w:t xml:space="preserve"> s.r.o.</w:t>
    </w:r>
    <w:r w:rsidRPr="008B0912">
      <w:rPr>
        <w:rFonts w:ascii="sans-serif" w:hAnsi="sans-serif"/>
        <w:color w:val="000000"/>
        <w:sz w:val="24"/>
        <w:szCs w:val="24"/>
      </w:rPr>
      <w:t>, Chot</w:t>
    </w:r>
    <w:r w:rsidRPr="008B0912">
      <w:rPr>
        <w:rFonts w:ascii="sans-serif" w:hAnsi="sans-serif" w:hint="eastAsia"/>
        <w:color w:val="000000"/>
        <w:sz w:val="24"/>
        <w:szCs w:val="24"/>
      </w:rPr>
      <w:t>ěš</w:t>
    </w:r>
    <w:r w:rsidRPr="008B0912">
      <w:rPr>
        <w:rFonts w:ascii="sans-serif" w:hAnsi="sans-serif"/>
        <w:color w:val="000000"/>
        <w:sz w:val="24"/>
        <w:szCs w:val="24"/>
      </w:rPr>
      <w:t>ov 167, 411 21 Vrbi</w:t>
    </w:r>
    <w:r w:rsidRPr="008B0912">
      <w:rPr>
        <w:rFonts w:ascii="sans-serif" w:hAnsi="sans-serif" w:hint="eastAsia"/>
        <w:color w:val="000000"/>
        <w:sz w:val="24"/>
        <w:szCs w:val="24"/>
      </w:rPr>
      <w:t>č</w:t>
    </w:r>
    <w:r w:rsidRPr="008B0912">
      <w:rPr>
        <w:rFonts w:ascii="sans-serif" w:hAnsi="sans-serif"/>
        <w:color w:val="000000"/>
        <w:sz w:val="24"/>
        <w:szCs w:val="24"/>
      </w:rPr>
      <w:t>any</w:t>
    </w:r>
    <w:r w:rsidRPr="008B0912">
      <w:rPr>
        <w:sz w:val="24"/>
        <w:szCs w:val="24"/>
      </w:rPr>
      <w:t xml:space="preserve"> </w:t>
    </w:r>
  </w:p>
  <w:p w14:paraId="056EBC51" w14:textId="56F85511" w:rsidR="008B0912" w:rsidRPr="008B0912" w:rsidRDefault="008B0912" w:rsidP="008B0912">
    <w:pPr>
      <w:rPr>
        <w:sz w:val="24"/>
        <w:szCs w:val="24"/>
      </w:rPr>
    </w:pPr>
    <w:r w:rsidRPr="005556DB">
      <w:rPr>
        <w:rFonts w:ascii="sans-serif" w:hAnsi="sans-serif"/>
        <w:color w:val="000000"/>
      </w:rPr>
      <w:t>Spole</w:t>
    </w:r>
    <w:r w:rsidRPr="005556DB">
      <w:rPr>
        <w:rFonts w:ascii="sans-serif" w:hAnsi="sans-serif" w:hint="eastAsia"/>
        <w:color w:val="000000"/>
      </w:rPr>
      <w:t>č</w:t>
    </w:r>
    <w:r w:rsidRPr="005556DB">
      <w:rPr>
        <w:rFonts w:ascii="sans-serif" w:hAnsi="sans-serif"/>
        <w:color w:val="000000"/>
      </w:rPr>
      <w:t>nost je zaps</w:t>
    </w:r>
    <w:r w:rsidRPr="005556DB">
      <w:rPr>
        <w:rFonts w:ascii="sans-serif" w:hAnsi="sans-serif" w:hint="eastAsia"/>
        <w:color w:val="000000"/>
      </w:rPr>
      <w:t>á</w:t>
    </w:r>
    <w:r w:rsidRPr="005556DB">
      <w:rPr>
        <w:rFonts w:ascii="sans-serif" w:hAnsi="sans-serif"/>
        <w:color w:val="000000"/>
      </w:rPr>
      <w:t>na v obchodn</w:t>
    </w:r>
    <w:r w:rsidRPr="005556DB">
      <w:rPr>
        <w:rFonts w:ascii="sans-serif" w:hAnsi="sans-serif" w:hint="eastAsia"/>
        <w:color w:val="000000"/>
      </w:rPr>
      <w:t>í</w:t>
    </w:r>
    <w:r w:rsidRPr="005556DB">
      <w:rPr>
        <w:rFonts w:ascii="sans-serif" w:hAnsi="sans-serif"/>
        <w:color w:val="000000"/>
      </w:rPr>
      <w:t>m rejst</w:t>
    </w:r>
    <w:r w:rsidRPr="005556DB">
      <w:rPr>
        <w:rFonts w:ascii="sans-serif" w:hAnsi="sans-serif" w:hint="eastAsia"/>
        <w:color w:val="000000"/>
      </w:rPr>
      <w:t>ří</w:t>
    </w:r>
    <w:r w:rsidRPr="005556DB">
      <w:rPr>
        <w:rFonts w:ascii="sans-serif" w:hAnsi="sans-serif"/>
        <w:color w:val="000000"/>
      </w:rPr>
      <w:t>ku, veden</w:t>
    </w:r>
    <w:r w:rsidRPr="005556DB">
      <w:rPr>
        <w:rFonts w:ascii="sans-serif" w:hAnsi="sans-serif" w:hint="eastAsia"/>
        <w:color w:val="000000"/>
      </w:rPr>
      <w:t>ý</w:t>
    </w:r>
    <w:r w:rsidRPr="005556DB">
      <w:rPr>
        <w:rFonts w:ascii="sans-serif" w:hAnsi="sans-serif"/>
        <w:color w:val="000000"/>
      </w:rPr>
      <w:t>m Krajsk</w:t>
    </w:r>
    <w:r w:rsidRPr="005556DB">
      <w:rPr>
        <w:rFonts w:ascii="sans-serif" w:hAnsi="sans-serif" w:hint="eastAsia"/>
        <w:color w:val="000000"/>
      </w:rPr>
      <w:t>ý</w:t>
    </w:r>
    <w:r w:rsidRPr="005556DB">
      <w:rPr>
        <w:rFonts w:ascii="sans-serif" w:hAnsi="sans-serif"/>
        <w:color w:val="000000"/>
      </w:rPr>
      <w:t xml:space="preserve">m soudem v </w:t>
    </w:r>
    <w:r w:rsidRPr="005556DB">
      <w:rPr>
        <w:rFonts w:ascii="sans-serif" w:hAnsi="sans-serif" w:hint="eastAsia"/>
        <w:color w:val="000000"/>
      </w:rPr>
      <w:t>Ú</w:t>
    </w:r>
    <w:r w:rsidRPr="005556DB">
      <w:rPr>
        <w:rFonts w:ascii="sans-serif" w:hAnsi="sans-serif"/>
        <w:color w:val="000000"/>
      </w:rPr>
      <w:t>st</w:t>
    </w:r>
    <w:r w:rsidRPr="005556DB">
      <w:rPr>
        <w:rFonts w:ascii="sans-serif" w:hAnsi="sans-serif" w:hint="eastAsia"/>
        <w:color w:val="000000"/>
      </w:rPr>
      <w:t>í</w:t>
    </w:r>
    <w:r w:rsidRPr="005556DB">
      <w:rPr>
        <w:rFonts w:ascii="sans-serif" w:hAnsi="sans-serif"/>
        <w:color w:val="000000"/>
      </w:rPr>
      <w:t xml:space="preserve"> </w:t>
    </w:r>
    <w:proofErr w:type="gramStart"/>
    <w:r w:rsidRPr="005556DB">
      <w:rPr>
        <w:rFonts w:ascii="sans-serif" w:hAnsi="sans-serif"/>
        <w:color w:val="000000"/>
      </w:rPr>
      <w:t>nad  Labem</w:t>
    </w:r>
    <w:proofErr w:type="gramEnd"/>
    <w:r w:rsidRPr="005556DB">
      <w:rPr>
        <w:rFonts w:ascii="sans-serif" w:hAnsi="sans-serif"/>
        <w:color w:val="000000"/>
      </w:rPr>
      <w:t xml:space="preserve">   odd</w:t>
    </w:r>
    <w:r w:rsidRPr="005556DB">
      <w:rPr>
        <w:rFonts w:ascii="sans-serif" w:hAnsi="sans-serif" w:hint="eastAsia"/>
        <w:color w:val="000000"/>
      </w:rPr>
      <w:t>í</w:t>
    </w:r>
    <w:r w:rsidRPr="005556DB">
      <w:rPr>
        <w:rFonts w:ascii="sans-serif" w:hAnsi="sans-serif"/>
        <w:color w:val="000000"/>
      </w:rPr>
      <w:t>l C, vlo</w:t>
    </w:r>
    <w:r w:rsidRPr="005556DB">
      <w:rPr>
        <w:rFonts w:ascii="sans-serif" w:hAnsi="sans-serif" w:hint="eastAsia"/>
        <w:color w:val="000000"/>
      </w:rPr>
      <w:t>ž</w:t>
    </w:r>
    <w:r w:rsidRPr="005556DB">
      <w:rPr>
        <w:rFonts w:ascii="sans-serif" w:hAnsi="sans-serif"/>
        <w:color w:val="000000"/>
      </w:rPr>
      <w:t>ka 2813.</w:t>
    </w:r>
    <w:r w:rsidRPr="005556DB">
      <w:t xml:space="preserve">                          </w:t>
    </w:r>
    <w:r w:rsidRPr="008B0912">
      <w:rPr>
        <w:sz w:val="24"/>
        <w:szCs w:val="24"/>
      </w:rPr>
      <w:t xml:space="preserve">                                    </w:t>
    </w:r>
  </w:p>
  <w:p w14:paraId="00367717" w14:textId="77777777" w:rsidR="008B0912" w:rsidRPr="008B0912" w:rsidRDefault="008B0912" w:rsidP="008B0912">
    <w:proofErr w:type="gramStart"/>
    <w:r w:rsidRPr="008B0912">
      <w:rPr>
        <w:rFonts w:ascii="sans-serif" w:hAnsi="sans-serif"/>
        <w:color w:val="000000"/>
      </w:rPr>
      <w:t>I</w:t>
    </w:r>
    <w:r w:rsidRPr="008B0912">
      <w:rPr>
        <w:rFonts w:ascii="sans-serif" w:hAnsi="sans-serif" w:hint="eastAsia"/>
        <w:color w:val="000000"/>
      </w:rPr>
      <w:t>Č</w:t>
    </w:r>
    <w:r w:rsidRPr="008B0912">
      <w:rPr>
        <w:rFonts w:ascii="sans-serif" w:hAnsi="sans-serif"/>
        <w:color w:val="000000"/>
      </w:rPr>
      <w:t>O :</w:t>
    </w:r>
    <w:proofErr w:type="gramEnd"/>
    <w:r w:rsidRPr="008B0912">
      <w:rPr>
        <w:rFonts w:ascii="sans-serif" w:hAnsi="sans-serif"/>
        <w:color w:val="000000"/>
      </w:rPr>
      <w:t xml:space="preserve"> 472 82 550 </w:t>
    </w:r>
    <w:r w:rsidRPr="008B0912">
      <w:rPr>
        <w:rFonts w:ascii="sans-serif" w:hAnsi="sans-serif"/>
        <w:color w:val="000000"/>
      </w:rPr>
      <w:tab/>
      <w:t>DI</w:t>
    </w:r>
    <w:r w:rsidRPr="008B0912">
      <w:rPr>
        <w:rFonts w:ascii="sans-serif" w:hAnsi="sans-serif" w:hint="eastAsia"/>
        <w:color w:val="000000"/>
      </w:rPr>
      <w:t>Č</w:t>
    </w:r>
    <w:r w:rsidRPr="008B0912">
      <w:rPr>
        <w:rFonts w:ascii="sans-serif" w:hAnsi="sans-serif"/>
        <w:color w:val="000000"/>
      </w:rPr>
      <w:t xml:space="preserve"> : CZ 472 82 550</w:t>
    </w:r>
    <w:r w:rsidRPr="008B0912">
      <w:t xml:space="preserve">                                                                            </w:t>
    </w:r>
  </w:p>
  <w:p w14:paraId="2397E5CC" w14:textId="4AF56693" w:rsidR="00B221DB" w:rsidRDefault="00762BD0" w:rsidP="008B0912"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</w:t>
    </w:r>
    <w:r>
      <w:rPr>
        <w:sz w:val="32"/>
        <w:szCs w:val="32"/>
      </w:rPr>
      <w:tab/>
    </w:r>
    <w:r>
      <w:rPr>
        <w:sz w:val="32"/>
        <w:szCs w:val="32"/>
      </w:rPr>
      <w:tab/>
    </w:r>
    <w:r>
      <w:rPr>
        <w:sz w:val="32"/>
        <w:szCs w:val="32"/>
      </w:rPr>
      <w:tab/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FEC4CFD"/>
    <w:multiLevelType w:val="hybridMultilevel"/>
    <w:tmpl w:val="12FCC166"/>
    <w:lvl w:ilvl="0" w:tplc="4A6EC4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64850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08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41E"/>
    <w:rsid w:val="000136C7"/>
    <w:rsid w:val="00036219"/>
    <w:rsid w:val="00060254"/>
    <w:rsid w:val="000866B1"/>
    <w:rsid w:val="00086DF3"/>
    <w:rsid w:val="000A2093"/>
    <w:rsid w:val="000C5043"/>
    <w:rsid w:val="000D4229"/>
    <w:rsid w:val="000E03D1"/>
    <w:rsid w:val="000E3BD8"/>
    <w:rsid w:val="001052B9"/>
    <w:rsid w:val="00107723"/>
    <w:rsid w:val="00130273"/>
    <w:rsid w:val="00134E0B"/>
    <w:rsid w:val="001E55F0"/>
    <w:rsid w:val="00284E1B"/>
    <w:rsid w:val="002A2FB9"/>
    <w:rsid w:val="002D3AB0"/>
    <w:rsid w:val="002F2303"/>
    <w:rsid w:val="003602D7"/>
    <w:rsid w:val="003D445C"/>
    <w:rsid w:val="003E10C1"/>
    <w:rsid w:val="003F5C05"/>
    <w:rsid w:val="00491ECB"/>
    <w:rsid w:val="004E48C8"/>
    <w:rsid w:val="005A5CE6"/>
    <w:rsid w:val="006072F6"/>
    <w:rsid w:val="0063668A"/>
    <w:rsid w:val="006810FF"/>
    <w:rsid w:val="00695687"/>
    <w:rsid w:val="00735822"/>
    <w:rsid w:val="00737E06"/>
    <w:rsid w:val="00741284"/>
    <w:rsid w:val="007507ED"/>
    <w:rsid w:val="00751F62"/>
    <w:rsid w:val="00762BD0"/>
    <w:rsid w:val="00762D29"/>
    <w:rsid w:val="007D73A7"/>
    <w:rsid w:val="007E26A7"/>
    <w:rsid w:val="0082141E"/>
    <w:rsid w:val="008B0912"/>
    <w:rsid w:val="009715BE"/>
    <w:rsid w:val="009769A9"/>
    <w:rsid w:val="00984E92"/>
    <w:rsid w:val="00A226D7"/>
    <w:rsid w:val="00A30DC7"/>
    <w:rsid w:val="00A648B1"/>
    <w:rsid w:val="00A844C5"/>
    <w:rsid w:val="00A97C98"/>
    <w:rsid w:val="00AB67B6"/>
    <w:rsid w:val="00AF7D8E"/>
    <w:rsid w:val="00B115EA"/>
    <w:rsid w:val="00B221DB"/>
    <w:rsid w:val="00B77D3E"/>
    <w:rsid w:val="00B828D4"/>
    <w:rsid w:val="00BF5AC2"/>
    <w:rsid w:val="00C16BCF"/>
    <w:rsid w:val="00C66019"/>
    <w:rsid w:val="00DE1349"/>
    <w:rsid w:val="00E25F47"/>
    <w:rsid w:val="00E9187B"/>
    <w:rsid w:val="00E97EFC"/>
    <w:rsid w:val="00ED1499"/>
    <w:rsid w:val="00F47301"/>
    <w:rsid w:val="00FB24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4C3BBD53"/>
  <w15:docId w15:val="{EAC2A2D4-FE9D-4C21-A377-F06E2A5EC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B24F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221D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B221DB"/>
    <w:rPr>
      <w:rFonts w:ascii="Arial" w:hAnsi="Arial"/>
    </w:rPr>
  </w:style>
  <w:style w:type="paragraph" w:styleId="Zpat">
    <w:name w:val="footer"/>
    <w:basedOn w:val="Normln"/>
    <w:link w:val="ZpatChar"/>
    <w:uiPriority w:val="99"/>
    <w:unhideWhenUsed/>
    <w:rsid w:val="00B221DB"/>
    <w:pPr>
      <w:tabs>
        <w:tab w:val="center" w:pos="4536"/>
        <w:tab w:val="right" w:pos="9072"/>
      </w:tabs>
      <w:spacing w:after="0" w:line="240" w:lineRule="auto"/>
    </w:pPr>
    <w:rPr>
      <w:rFonts w:eastAsia="Times New Roman" w:cs="Times New Roman"/>
      <w:sz w:val="20"/>
      <w:szCs w:val="20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B221DB"/>
    <w:rPr>
      <w:rFonts w:ascii="Arial" w:hAnsi="Arial"/>
    </w:rPr>
  </w:style>
  <w:style w:type="table" w:styleId="Mkatabulky">
    <w:name w:val="Table Grid"/>
    <w:basedOn w:val="Normlntabulka"/>
    <w:uiPriority w:val="59"/>
    <w:rsid w:val="00B221DB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B221DB"/>
    <w:rPr>
      <w:color w:val="808080"/>
    </w:rPr>
  </w:style>
  <w:style w:type="paragraph" w:styleId="Bezmezer">
    <w:name w:val="No Spacing"/>
    <w:uiPriority w:val="1"/>
    <w:qFormat/>
    <w:rsid w:val="00B221DB"/>
    <w:rPr>
      <w:rFonts w:asciiTheme="minorHAnsi" w:hAnsiTheme="minorHAnsi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221DB"/>
    <w:pPr>
      <w:spacing w:after="0" w:line="240" w:lineRule="auto"/>
    </w:pPr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221DB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D3AB0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D3AB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home-affairs/what-we-do/policies/counter-terrorism/protection/implementation-explosives-precursors-legislation_e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&#352;ablony\Lovo%20Dopisy\dokument%20s%20logem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884853-D0FF-4C70-B50B-A59B49220E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dokument s logem</Template>
  <TotalTime>1</TotalTime>
  <Pages>2</Pages>
  <Words>473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Lovochemie, a.s.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sulerp</dc:creator>
  <cp:lastModifiedBy>Jaroslav Tendler</cp:lastModifiedBy>
  <cp:revision>2</cp:revision>
  <cp:lastPrinted>2021-02-04T12:33:00Z</cp:lastPrinted>
  <dcterms:created xsi:type="dcterms:W3CDTF">2024-05-23T08:39:00Z</dcterms:created>
  <dcterms:modified xsi:type="dcterms:W3CDTF">2024-05-23T08:39:00Z</dcterms:modified>
</cp:coreProperties>
</file>